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90E75" w14:textId="77777777" w:rsidR="00F63335" w:rsidRPr="00F63335" w:rsidRDefault="00F63335" w:rsidP="00F63335">
      <w:pPr>
        <w:shd w:val="clear" w:color="auto" w:fill="FFFFFF"/>
        <w:spacing w:after="0" w:line="240" w:lineRule="auto"/>
        <w:outlineLvl w:val="0"/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</w:rPr>
      </w:pPr>
      <w:r w:rsidRPr="00F63335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</w:rPr>
        <w:t xml:space="preserve">Sans compensation carbone Norsk Hydro devra fermer </w:t>
      </w:r>
      <w:proofErr w:type="spellStart"/>
      <w:r w:rsidRPr="00F63335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</w:rPr>
        <w:t>Slovalco</w:t>
      </w:r>
      <w:proofErr w:type="spellEnd"/>
    </w:p>
    <w:p w14:paraId="66F75B98" w14:textId="77777777" w:rsidR="00F63335" w:rsidRDefault="00F63335" w:rsidP="00F63335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3E001F"/>
          <w:sz w:val="30"/>
          <w:szCs w:val="30"/>
          <w:lang w:eastAsia="fr-BE"/>
        </w:rPr>
      </w:pPr>
    </w:p>
    <w:p w14:paraId="38D27FA7" w14:textId="0F345D98" w:rsidR="00F63335" w:rsidRPr="00F63335" w:rsidRDefault="00F63335" w:rsidP="00F63335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</w:pPr>
      <w:r w:rsidRPr="00F63335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BE"/>
        </w:rPr>
        <w:t>Norsk Hydro</w:t>
      </w:r>
      <w:r w:rsidRPr="00F63335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 </w:t>
      </w:r>
      <w:r w:rsidRPr="00F63335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BE"/>
        </w:rPr>
        <w:t>pourrait devoir fermer sa fonderie slovaque si le gouvernement décidait de ne pas lui accorder de soutien par le biais du système de compensation carbone, a fait savoir le producteur.</w:t>
      </w:r>
    </w:p>
    <w:p w14:paraId="7E780AC6" w14:textId="77777777" w:rsidR="00F63335" w:rsidRPr="00F63335" w:rsidRDefault="00F63335" w:rsidP="00F63335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</w:pPr>
      <w:r w:rsidRPr="00F63335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 </w:t>
      </w:r>
    </w:p>
    <w:p w14:paraId="5E42375A" w14:textId="77777777" w:rsidR="00F63335" w:rsidRPr="00F63335" w:rsidRDefault="00F63335" w:rsidP="00F63335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</w:pPr>
      <w:r w:rsidRPr="00F63335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Ces derniers mois, les fonderies européennes auraient fermé entre 800.000 et 900.000 tonnes de capacités par an, en raison de la flambée des prix de l’énergie. </w:t>
      </w:r>
      <w:proofErr w:type="spellStart"/>
      <w:r w:rsidRPr="00F63335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BE"/>
        </w:rPr>
        <w:t>Slovalco</w:t>
      </w:r>
      <w:proofErr w:type="spellEnd"/>
      <w:r w:rsidRPr="00F63335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, dont </w:t>
      </w:r>
      <w:r w:rsidRPr="00F63335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BE"/>
        </w:rPr>
        <w:t>Norsk Hydro</w:t>
      </w:r>
      <w:r w:rsidRPr="00F63335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 détient une participation de 55,3% (le reste, 44,7% étant détenu par Penta Investment Group), est dotée d’une capacité annuelle de 175.000 tonnes d’aluminium primaire. Elle opère actuellement à 60% de ses capacités, soit à 105.000 tonnes par an. « </w:t>
      </w:r>
      <w:r w:rsidRPr="00F63335">
        <w:rPr>
          <w:rFonts w:ascii="Lato" w:eastAsia="Times New Roman" w:hAnsi="Lato" w:cs="Times New Roman"/>
          <w:i/>
          <w:iCs/>
          <w:color w:val="000000"/>
          <w:sz w:val="23"/>
          <w:szCs w:val="23"/>
          <w:lang w:eastAsia="fr-BE"/>
        </w:rPr>
        <w:t>Le contrat d’électricité expire en fin d’année, au-delà ce sera compliqué de maintenir la fonderie en état de fonctionnement</w:t>
      </w:r>
      <w:r w:rsidRPr="00F63335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 », a indiqué le porte-parole de </w:t>
      </w:r>
      <w:r w:rsidRPr="00F63335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BE"/>
        </w:rPr>
        <w:t>Norsk Hydro</w:t>
      </w:r>
      <w:r w:rsidRPr="00F63335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 </w:t>
      </w:r>
      <w:proofErr w:type="spellStart"/>
      <w:r w:rsidRPr="00F63335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Halvor</w:t>
      </w:r>
      <w:proofErr w:type="spellEnd"/>
      <w:r w:rsidRPr="00F63335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 xml:space="preserve"> </w:t>
      </w:r>
      <w:proofErr w:type="spellStart"/>
      <w:r w:rsidRPr="00F63335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Molland</w:t>
      </w:r>
      <w:proofErr w:type="spellEnd"/>
      <w:r w:rsidRPr="00F63335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 xml:space="preserve">. « De nombreux pays - l’Allemagne, la Norvège et les Pays Bas - ont choisi de soutenir les producteurs d’aluminium, pas la Slovaquie », poursuit-il. </w:t>
      </w:r>
      <w:proofErr w:type="spellStart"/>
      <w:r w:rsidRPr="00F63335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Slovalco</w:t>
      </w:r>
      <w:proofErr w:type="spellEnd"/>
      <w:r w:rsidRPr="00F63335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 xml:space="preserve"> fournit 50% des consommateurs du pays et emploie quelque 500 personnes, souligne </w:t>
      </w:r>
      <w:proofErr w:type="spellStart"/>
      <w:r w:rsidRPr="00F63335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Halvor</w:t>
      </w:r>
      <w:proofErr w:type="spellEnd"/>
      <w:r w:rsidRPr="00F63335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 xml:space="preserve"> </w:t>
      </w:r>
      <w:proofErr w:type="spellStart"/>
      <w:r w:rsidRPr="00F63335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Molland</w:t>
      </w:r>
      <w:proofErr w:type="spellEnd"/>
      <w:r w:rsidRPr="00F63335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. En Allemagne, la compensation carbone pour une fonderie dotée d’une capacité de 200.000 tonnes par an sera d’environ 67,55 millions d’euros cette année, indique </w:t>
      </w:r>
      <w:r w:rsidRPr="00F63335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BE"/>
        </w:rPr>
        <w:t>Hydro</w:t>
      </w:r>
      <w:r w:rsidRPr="00F63335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.</w:t>
      </w:r>
    </w:p>
    <w:p w14:paraId="2D52676A" w14:textId="77777777" w:rsidR="00F63335" w:rsidRPr="00F63335" w:rsidRDefault="00F63335" w:rsidP="00F63335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</w:pPr>
      <w:r w:rsidRPr="00F63335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Le système de compensation carbone approuvé par l’Union européenne (UE) permet aux gouvernements d’attribuer une compensation aux industries électro-intensives telles que les fonderies d’aluminium, afin qu’elles puissent s’alléger d’une partie des coûts du carbone dont il faut s’acquitter au regard du Système d'échange de quotas d'émission (ETS).</w:t>
      </w:r>
    </w:p>
    <w:p w14:paraId="4D5620AD" w14:textId="77777777" w:rsidR="00F63335" w:rsidRPr="00F63335" w:rsidRDefault="00F63335" w:rsidP="00F63335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</w:pPr>
      <w:r w:rsidRPr="00F63335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« </w:t>
      </w:r>
      <w:r w:rsidRPr="00F63335">
        <w:rPr>
          <w:rFonts w:ascii="Lato" w:eastAsia="Times New Roman" w:hAnsi="Lato" w:cs="Times New Roman"/>
          <w:i/>
          <w:iCs/>
          <w:color w:val="000000"/>
          <w:sz w:val="23"/>
          <w:szCs w:val="23"/>
          <w:lang w:eastAsia="fr-BE"/>
        </w:rPr>
        <w:t>Le nouveau projet de loi sur l'échange de quotas (de carbone) est toujours dans un processus législatif </w:t>
      </w:r>
      <w:r w:rsidRPr="00F63335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», argue de son côté le ministère de l’Environnement slovaque, lequel se dit « </w:t>
      </w:r>
      <w:r w:rsidRPr="00F63335">
        <w:rPr>
          <w:rFonts w:ascii="Lato" w:eastAsia="Times New Roman" w:hAnsi="Lato" w:cs="Times New Roman"/>
          <w:i/>
          <w:iCs/>
          <w:color w:val="000000"/>
          <w:sz w:val="23"/>
          <w:szCs w:val="23"/>
          <w:lang w:eastAsia="fr-BE"/>
        </w:rPr>
        <w:t xml:space="preserve">au fait de l’importance de la fonderie </w:t>
      </w:r>
      <w:proofErr w:type="spellStart"/>
      <w:r w:rsidRPr="00F63335">
        <w:rPr>
          <w:rFonts w:ascii="Lato" w:eastAsia="Times New Roman" w:hAnsi="Lato" w:cs="Times New Roman"/>
          <w:i/>
          <w:iCs/>
          <w:color w:val="000000"/>
          <w:sz w:val="23"/>
          <w:szCs w:val="23"/>
          <w:lang w:eastAsia="fr-BE"/>
        </w:rPr>
        <w:t>Slovalco</w:t>
      </w:r>
      <w:proofErr w:type="spellEnd"/>
      <w:r w:rsidRPr="00F63335">
        <w:rPr>
          <w:rFonts w:ascii="Lato" w:eastAsia="Times New Roman" w:hAnsi="Lato" w:cs="Times New Roman"/>
          <w:i/>
          <w:iCs/>
          <w:color w:val="000000"/>
          <w:sz w:val="23"/>
          <w:szCs w:val="23"/>
          <w:lang w:eastAsia="fr-BE"/>
        </w:rPr>
        <w:t xml:space="preserve"> pour la région qui est soutenue financièrement par le gouvernement. </w:t>
      </w:r>
      <w:proofErr w:type="spellStart"/>
      <w:r w:rsidRPr="00F63335">
        <w:rPr>
          <w:rFonts w:ascii="Lato" w:eastAsia="Times New Roman" w:hAnsi="Lato" w:cs="Times New Roman"/>
          <w:i/>
          <w:iCs/>
          <w:color w:val="000000"/>
          <w:sz w:val="23"/>
          <w:szCs w:val="23"/>
          <w:lang w:eastAsia="fr-BE"/>
        </w:rPr>
        <w:t>Slovalco</w:t>
      </w:r>
      <w:proofErr w:type="spellEnd"/>
      <w:r w:rsidRPr="00F63335">
        <w:rPr>
          <w:rFonts w:ascii="Lato" w:eastAsia="Times New Roman" w:hAnsi="Lato" w:cs="Times New Roman"/>
          <w:i/>
          <w:iCs/>
          <w:color w:val="000000"/>
          <w:sz w:val="23"/>
          <w:szCs w:val="23"/>
          <w:lang w:eastAsia="fr-BE"/>
        </w:rPr>
        <w:t xml:space="preserve"> a reçu plus de 21 M€ entre 2016 et 2020 à titre de compensation, soit 51,6% du montant total de la compensation</w:t>
      </w:r>
      <w:r w:rsidRPr="00F63335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 ».</w:t>
      </w:r>
    </w:p>
    <w:p w14:paraId="7C307E83" w14:textId="77777777" w:rsidR="00F63335" w:rsidRPr="00F63335" w:rsidRDefault="00F63335" w:rsidP="00F63335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</w:pPr>
      <w:r w:rsidRPr="00F63335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 </w:t>
      </w:r>
    </w:p>
    <w:p w14:paraId="1F39934E" w14:textId="77777777" w:rsidR="00DA6D70" w:rsidRDefault="00DA6D70"/>
    <w:sectPr w:rsidR="00DA6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335"/>
    <w:rsid w:val="008A0977"/>
    <w:rsid w:val="00DA6D70"/>
    <w:rsid w:val="00EB4FA3"/>
    <w:rsid w:val="00F6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0B335"/>
  <w15:chartTrackingRefBased/>
  <w15:docId w15:val="{843EBE5B-ED7A-4528-9CD2-79FF25D88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Klinck</dc:creator>
  <cp:keywords/>
  <dc:description/>
  <cp:lastModifiedBy>Sebastien Klinck</cp:lastModifiedBy>
  <cp:revision>1</cp:revision>
  <dcterms:created xsi:type="dcterms:W3CDTF">2022-06-02T09:21:00Z</dcterms:created>
  <dcterms:modified xsi:type="dcterms:W3CDTF">2022-06-02T09:22:00Z</dcterms:modified>
</cp:coreProperties>
</file>